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66C" w:rsidRPr="00CD466C" w:rsidRDefault="00635659" w:rsidP="00CD466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sidRPr="00CD466C">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86.35pt;margin-top:37.8pt;width:45.05pt;height:35.35pt;z-index:251660288;mso-width-relative:margin;mso-height-relative:margin">
            <v:textbox>
              <w:txbxContent>
                <w:p w:rsidR="00930812" w:rsidRPr="00CD466C" w:rsidRDefault="00CD466C" w:rsidP="00CD466C">
                  <w:pPr>
                    <w:rPr>
                      <w:rFonts w:ascii="Times New Roman" w:hAnsi="Times New Roman" w:cs="Times New Roman"/>
                      <w:b/>
                      <w:sz w:val="40"/>
                      <w:szCs w:val="40"/>
                    </w:rPr>
                  </w:pPr>
                  <w:r w:rsidRPr="00CD466C">
                    <w:rPr>
                      <w:rFonts w:ascii="Times New Roman" w:hAnsi="Times New Roman" w:cs="Times New Roman"/>
                      <w:sz w:val="40"/>
                      <w:szCs w:val="40"/>
                    </w:rPr>
                    <w:t xml:space="preserve">  2</w:t>
                  </w:r>
                </w:p>
              </w:txbxContent>
            </v:textbox>
          </v:shape>
        </w:pict>
      </w:r>
      <w:r w:rsidR="00E37131" w:rsidRPr="00CD466C">
        <w:rPr>
          <w:rFonts w:ascii="Times New Roman" w:hAnsi="Times New Roman" w:cs="Times New Roman"/>
          <w:b/>
          <w:sz w:val="28"/>
          <w:szCs w:val="28"/>
        </w:rPr>
        <w:t>ACERCA DE LAS IMBRICACIONES DE LA EPISTEMOLOGÍA,</w:t>
      </w:r>
      <w:r w:rsidR="003D69F3" w:rsidRPr="00CD466C">
        <w:rPr>
          <w:rFonts w:ascii="Times New Roman" w:hAnsi="Times New Roman" w:cs="Times New Roman"/>
          <w:b/>
          <w:sz w:val="28"/>
          <w:szCs w:val="28"/>
        </w:rPr>
        <w:t xml:space="preserve"> HISTORIA DE LA CIENCIA Y LÓGICA</w:t>
      </w:r>
      <w:r w:rsidR="00CD466C" w:rsidRPr="00CD466C">
        <w:rPr>
          <w:rFonts w:ascii="Times New Roman" w:hAnsi="Times New Roman" w:cs="Times New Roman"/>
          <w:sz w:val="32"/>
          <w:szCs w:val="32"/>
        </w:rPr>
        <w:t xml:space="preserve"> </w:t>
      </w:r>
      <w:r w:rsidR="00CD466C">
        <w:rPr>
          <w:rFonts w:ascii="Times New Roman" w:hAnsi="Times New Roman" w:cs="Times New Roman"/>
          <w:sz w:val="32"/>
          <w:szCs w:val="32"/>
        </w:rPr>
        <w:t xml:space="preserve"> </w:t>
      </w:r>
      <w:r w:rsidR="00CD466C" w:rsidRPr="00CD466C">
        <w:rPr>
          <w:rFonts w:ascii="Times New Roman" w:hAnsi="Times New Roman" w:cs="Times New Roman"/>
          <w:i/>
          <w:sz w:val="28"/>
          <w:szCs w:val="28"/>
        </w:rPr>
        <w:t>Juan Carlos Yeanplong</w:t>
      </w:r>
    </w:p>
    <w:p w:rsidR="00CD466C" w:rsidRPr="003D69F3" w:rsidRDefault="00CD466C" w:rsidP="003D69F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0"/>
          <w:szCs w:val="20"/>
        </w:rPr>
      </w:pPr>
    </w:p>
    <w:p w:rsidR="00F4221E" w:rsidRPr="003D69F3" w:rsidRDefault="00F4221E" w:rsidP="002C213E">
      <w:pPr>
        <w:jc w:val="both"/>
        <w:rPr>
          <w:rFonts w:ascii="Times New Roman" w:hAnsi="Times New Roman" w:cs="Times New Roman"/>
          <w:sz w:val="20"/>
          <w:szCs w:val="20"/>
        </w:rPr>
      </w:pPr>
      <w:r w:rsidRPr="003D69F3">
        <w:rPr>
          <w:rFonts w:ascii="Times New Roman" w:hAnsi="Times New Roman" w:cs="Times New Roman"/>
          <w:sz w:val="20"/>
          <w:szCs w:val="20"/>
        </w:rPr>
        <w:t>Resulta pertinente aclarar al comienzo algunos aspectos del título. La propia palabra imbricación en una de sus acepciones significa adorno arquitectónico que simula las escamas de un pez. Y bien, en tal sentido, nuestra idea es intentar mostrar qué cuestiones epistemológicas, de historia de las ciencias y lógica son como escamas o tejas que se reúnen, superponen y relacionan sobre ese gigantesco techo que es la acción humana.</w:t>
      </w:r>
    </w:p>
    <w:p w:rsidR="00F4221E" w:rsidRPr="003D69F3" w:rsidRDefault="00F4221E" w:rsidP="002C213E">
      <w:pPr>
        <w:jc w:val="both"/>
        <w:rPr>
          <w:rFonts w:ascii="Times New Roman" w:hAnsi="Times New Roman" w:cs="Times New Roman"/>
          <w:sz w:val="20"/>
          <w:szCs w:val="20"/>
        </w:rPr>
      </w:pPr>
      <w:r w:rsidRPr="003D69F3">
        <w:rPr>
          <w:rFonts w:ascii="Times New Roman" w:hAnsi="Times New Roman" w:cs="Times New Roman"/>
          <w:sz w:val="20"/>
          <w:szCs w:val="20"/>
        </w:rPr>
        <w:t>Nos apresuramos a poner de manifiesto que entendemos que no cabe el singular para las tres ramas del saber aludidas. Estamos convencidos de su interacción, pero muy particularmente, de su pluralidad. Tal aspecto nos remite a cuestiones de orden histórico.</w:t>
      </w:r>
    </w:p>
    <w:p w:rsidR="00F4221E" w:rsidRPr="003D69F3" w:rsidRDefault="00F4221E" w:rsidP="002C213E">
      <w:pPr>
        <w:jc w:val="both"/>
        <w:rPr>
          <w:rFonts w:ascii="Times New Roman" w:hAnsi="Times New Roman" w:cs="Times New Roman"/>
          <w:sz w:val="20"/>
          <w:szCs w:val="20"/>
        </w:rPr>
      </w:pPr>
      <w:r w:rsidRPr="003D69F3">
        <w:rPr>
          <w:rFonts w:ascii="Times New Roman" w:hAnsi="Times New Roman" w:cs="Times New Roman"/>
          <w:sz w:val="20"/>
          <w:szCs w:val="20"/>
        </w:rPr>
        <w:t>Consideramos que humanamente no es posible pensar fuera de la historia</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Por lo tanto, la historia aparece como el escenario insoslayable en donde actúan los sujetos. Y, la interacción entre éstos y las instituciones que han creado a través del tiempo se torna inevitable.</w:t>
      </w:r>
    </w:p>
    <w:p w:rsidR="00F4221E" w:rsidRPr="003D69F3" w:rsidRDefault="00F4221E" w:rsidP="002C213E">
      <w:pPr>
        <w:jc w:val="both"/>
        <w:rPr>
          <w:rFonts w:ascii="Times New Roman" w:hAnsi="Times New Roman" w:cs="Times New Roman"/>
          <w:sz w:val="20"/>
          <w:szCs w:val="20"/>
        </w:rPr>
      </w:pPr>
      <w:r w:rsidRPr="003D69F3">
        <w:rPr>
          <w:rFonts w:ascii="Times New Roman" w:hAnsi="Times New Roman" w:cs="Times New Roman"/>
          <w:sz w:val="20"/>
          <w:szCs w:val="20"/>
        </w:rPr>
        <w:t xml:space="preserve">Acorde a lo expuesto, el trabajo se perfila como una suerte de historia de las ideas, en el caso, de un tipo de ideas; sin olvidar la discusión al respecto, de si existe un lugar privilegiado que dé origen a las ideas; por ejemplo, la economía, la filosofía, la política, etc. O si varía el lugar, según los momentos históricos. </w:t>
      </w:r>
    </w:p>
    <w:p w:rsidR="00837FF8" w:rsidRPr="003D69F3" w:rsidRDefault="00F4221E" w:rsidP="002C213E">
      <w:pPr>
        <w:jc w:val="both"/>
        <w:rPr>
          <w:rFonts w:ascii="Times New Roman" w:hAnsi="Times New Roman" w:cs="Times New Roman"/>
          <w:sz w:val="20"/>
          <w:szCs w:val="20"/>
        </w:rPr>
      </w:pPr>
      <w:r w:rsidRPr="003D69F3">
        <w:rPr>
          <w:rFonts w:ascii="Times New Roman" w:hAnsi="Times New Roman" w:cs="Times New Roman"/>
          <w:sz w:val="20"/>
          <w:szCs w:val="20"/>
        </w:rPr>
        <w:t xml:space="preserve">Nosotros suscribimos la tesis que sostiene el argentino E. Mari en su libro “Elementos de epistemología comparada” en donde afirma: “que lo que aparentan ser formas, divisiones o ramas de la filosofía, según distintos criterios clasificatorios, no expresan sino el juego cambiante de las fuerzas sociales en una época histórica dada”. Este planteo no supone que no existe cierta independencia relativa del pensar filosófico, en el sentido de que el pensar filosófico no es un mero epifenómeno. Pero piénsese por ejemplo en la filosofía de la tecnología en nuestros días, o el alcance justamente epistemológico del siglo que acaba de terminar y de este que comienza, </w:t>
      </w:r>
      <w:r w:rsidR="00837FF8" w:rsidRPr="003D69F3">
        <w:rPr>
          <w:rFonts w:ascii="Times New Roman" w:hAnsi="Times New Roman" w:cs="Times New Roman"/>
          <w:sz w:val="20"/>
          <w:szCs w:val="20"/>
        </w:rPr>
        <w:t xml:space="preserve">en donde aparece la raigambre de lo que acabamos de mencionar por el desarrollo científico-técnico. </w:t>
      </w:r>
    </w:p>
    <w:p w:rsidR="00837FF8" w:rsidRPr="003D69F3" w:rsidRDefault="00837FF8" w:rsidP="002C213E">
      <w:pPr>
        <w:jc w:val="both"/>
        <w:rPr>
          <w:rFonts w:ascii="Times New Roman" w:hAnsi="Times New Roman" w:cs="Times New Roman"/>
          <w:sz w:val="20"/>
          <w:szCs w:val="20"/>
        </w:rPr>
      </w:pPr>
      <w:r w:rsidRPr="003D69F3">
        <w:rPr>
          <w:rFonts w:ascii="Times New Roman" w:hAnsi="Times New Roman" w:cs="Times New Roman"/>
          <w:sz w:val="20"/>
          <w:szCs w:val="20"/>
        </w:rPr>
        <w:t>El pensar tiene una indudable raíz social.</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Esto va de la mano de lo que afirma Mari, por un lado la sucesión temporal de las diversas formas de la filosofía y la tesis que habíamos antes mencionado.</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Desde la polisemia diacrónica y sincrónica de los vocablos epistemología, historia de la ciencia y lógica, puede avizorarse los juegos encontrados y cambiantes de estas disciplinas que son prácticas sociales e ideológicas, ya que toda opción es ideológica en el sentido de defensa o pertinencia de una concepción del mundo.</w:t>
      </w:r>
    </w:p>
    <w:p w:rsidR="00837FF8" w:rsidRPr="003D69F3" w:rsidRDefault="00837FF8" w:rsidP="002C213E">
      <w:pPr>
        <w:jc w:val="both"/>
        <w:rPr>
          <w:rFonts w:ascii="Times New Roman" w:hAnsi="Times New Roman" w:cs="Times New Roman"/>
          <w:sz w:val="20"/>
          <w:szCs w:val="20"/>
        </w:rPr>
      </w:pPr>
      <w:r w:rsidRPr="003D69F3">
        <w:rPr>
          <w:rFonts w:ascii="Times New Roman" w:hAnsi="Times New Roman" w:cs="Times New Roman"/>
          <w:sz w:val="20"/>
          <w:szCs w:val="20"/>
        </w:rPr>
        <w:t>Veamos los presupuestos categoriales.</w:t>
      </w:r>
    </w:p>
    <w:p w:rsidR="00837FF8" w:rsidRPr="003D69F3" w:rsidRDefault="00837FF8" w:rsidP="002C213E">
      <w:pPr>
        <w:pStyle w:val="Prrafodelista"/>
        <w:numPr>
          <w:ilvl w:val="0"/>
          <w:numId w:val="1"/>
        </w:numPr>
        <w:jc w:val="both"/>
        <w:rPr>
          <w:rFonts w:ascii="Times New Roman" w:hAnsi="Times New Roman" w:cs="Times New Roman"/>
          <w:sz w:val="20"/>
          <w:szCs w:val="20"/>
        </w:rPr>
      </w:pPr>
      <w:r w:rsidRPr="003D69F3">
        <w:rPr>
          <w:rFonts w:ascii="Times New Roman" w:hAnsi="Times New Roman" w:cs="Times New Roman"/>
          <w:sz w:val="20"/>
          <w:szCs w:val="20"/>
        </w:rPr>
        <w:t>No hay sujeto sin objeto y viceversa-todo esto dentro de la historia-, y de haberlo, no lo sabríamos. Pues de saberlo, esto no tendría sentido.</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Se sigue, que sujeto, objeto e historia son categorías presentes en todo el trabajo, sin darles un tratamiento exhaustivo.</w:t>
      </w:r>
    </w:p>
    <w:p w:rsidR="00837FF8" w:rsidRPr="003D69F3" w:rsidRDefault="00837FF8" w:rsidP="002C213E">
      <w:pPr>
        <w:pStyle w:val="Prrafodelista"/>
        <w:numPr>
          <w:ilvl w:val="0"/>
          <w:numId w:val="1"/>
        </w:numPr>
        <w:jc w:val="both"/>
        <w:rPr>
          <w:rFonts w:ascii="Times New Roman" w:hAnsi="Times New Roman" w:cs="Times New Roman"/>
          <w:sz w:val="20"/>
          <w:szCs w:val="20"/>
        </w:rPr>
      </w:pPr>
      <w:r w:rsidRPr="003D69F3">
        <w:rPr>
          <w:rFonts w:ascii="Times New Roman" w:hAnsi="Times New Roman" w:cs="Times New Roman"/>
          <w:sz w:val="20"/>
          <w:szCs w:val="20"/>
        </w:rPr>
        <w:t>No existe un modo único de ordenar los pensamientos. Entonces, el mapa (cualquier teoría, enunciado, etc.) no es el territorio. Lo cual no nos exonera de realizar elecciones. Pero las mismas son de carácter id</w:t>
      </w:r>
      <w:r w:rsidR="003D69F3" w:rsidRPr="003D69F3">
        <w:rPr>
          <w:rFonts w:ascii="Times New Roman" w:hAnsi="Times New Roman" w:cs="Times New Roman"/>
          <w:sz w:val="20"/>
          <w:szCs w:val="20"/>
        </w:rPr>
        <w:t>eológico (cfr. Yeanplong “¿Didác</w:t>
      </w:r>
      <w:r w:rsidRPr="003D69F3">
        <w:rPr>
          <w:rFonts w:ascii="Times New Roman" w:hAnsi="Times New Roman" w:cs="Times New Roman"/>
          <w:sz w:val="20"/>
          <w:szCs w:val="20"/>
        </w:rPr>
        <w:t>tica de la lógica o de las lógicas?”)</w:t>
      </w:r>
      <w:r w:rsidR="0052560B" w:rsidRPr="003D69F3">
        <w:rPr>
          <w:rFonts w:ascii="Times New Roman" w:hAnsi="Times New Roman" w:cs="Times New Roman"/>
          <w:sz w:val="20"/>
          <w:szCs w:val="20"/>
        </w:rPr>
        <w:t>.</w:t>
      </w:r>
    </w:p>
    <w:p w:rsidR="0052560B" w:rsidRPr="003D69F3" w:rsidRDefault="0052560B" w:rsidP="002C213E">
      <w:pPr>
        <w:pStyle w:val="Prrafodelista"/>
        <w:numPr>
          <w:ilvl w:val="0"/>
          <w:numId w:val="1"/>
        </w:numPr>
        <w:jc w:val="both"/>
        <w:rPr>
          <w:rFonts w:ascii="Times New Roman" w:hAnsi="Times New Roman" w:cs="Times New Roman"/>
          <w:sz w:val="20"/>
          <w:szCs w:val="20"/>
        </w:rPr>
      </w:pPr>
      <w:r w:rsidRPr="003D69F3">
        <w:rPr>
          <w:rFonts w:ascii="Times New Roman" w:hAnsi="Times New Roman" w:cs="Times New Roman"/>
          <w:sz w:val="20"/>
          <w:szCs w:val="20"/>
        </w:rPr>
        <w:t xml:space="preserve">La amplitud, complejidad y riqueza del tema, hace que seleccionemos en forma arbitraria los aspectos y momentos a tratar, no obstante, </w:t>
      </w:r>
      <w:r w:rsidR="0015374D" w:rsidRPr="003D69F3">
        <w:rPr>
          <w:rFonts w:ascii="Times New Roman" w:hAnsi="Times New Roman" w:cs="Times New Roman"/>
          <w:sz w:val="20"/>
          <w:szCs w:val="20"/>
        </w:rPr>
        <w:t xml:space="preserve">existe un hilo conductor que está planteado en este marco categorial. </w:t>
      </w:r>
    </w:p>
    <w:p w:rsidR="002C213E" w:rsidRPr="003D69F3" w:rsidRDefault="002C213E" w:rsidP="002C213E">
      <w:pPr>
        <w:ind w:left="360"/>
        <w:jc w:val="both"/>
        <w:rPr>
          <w:rFonts w:ascii="Times New Roman" w:hAnsi="Times New Roman" w:cs="Times New Roman"/>
          <w:i/>
          <w:sz w:val="20"/>
          <w:szCs w:val="20"/>
        </w:rPr>
      </w:pPr>
    </w:p>
    <w:p w:rsidR="002C213E" w:rsidRPr="003D69F3" w:rsidRDefault="002C213E" w:rsidP="002C213E">
      <w:pPr>
        <w:ind w:left="360"/>
        <w:jc w:val="both"/>
        <w:rPr>
          <w:rFonts w:ascii="Times New Roman" w:hAnsi="Times New Roman" w:cs="Times New Roman"/>
          <w:i/>
          <w:sz w:val="20"/>
          <w:szCs w:val="20"/>
        </w:rPr>
      </w:pPr>
    </w:p>
    <w:p w:rsidR="0015374D" w:rsidRPr="003D69F3" w:rsidRDefault="0015374D" w:rsidP="002C213E">
      <w:pPr>
        <w:ind w:left="360"/>
        <w:jc w:val="both"/>
        <w:rPr>
          <w:rFonts w:ascii="Times New Roman" w:hAnsi="Times New Roman" w:cs="Times New Roman"/>
          <w:i/>
          <w:sz w:val="20"/>
          <w:szCs w:val="20"/>
        </w:rPr>
      </w:pPr>
      <w:r w:rsidRPr="003D69F3">
        <w:rPr>
          <w:rFonts w:ascii="Times New Roman" w:hAnsi="Times New Roman" w:cs="Times New Roman"/>
          <w:i/>
          <w:sz w:val="20"/>
          <w:szCs w:val="20"/>
        </w:rPr>
        <w:lastRenderedPageBreak/>
        <w:t>IDEAS Y CONTEXTO SOCIO-HISTÓRICO.</w:t>
      </w:r>
    </w:p>
    <w:p w:rsidR="0015374D" w:rsidRPr="003D69F3" w:rsidRDefault="0015374D"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Partimos de la necesidad de estudiar e interpretar las ideas (sea cual fuere su tipo), en el caso, las ideas científicas, o así consideradas, en relación con el contexto socio-histórico en el cual fueron elaboradas y adquirieron consistencia y vigencia social.</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La historiografía de la ciencia dominante hasta mitad del siglo XX se presentaba de forma abstracta e interna. Aparecían los logros científicos independientemente del contexto, analizando sólo las relaciones intrateóricas.</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En nuestros días, incluso los aspectos más formales como las ideas lógicomatemáticas se realizan teniendo en cuenta el contexto socio-histórico y cultural de la época.</w:t>
      </w:r>
    </w:p>
    <w:p w:rsidR="0015374D" w:rsidRPr="003D69F3" w:rsidRDefault="0015374D"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Conforme a esto, la historia de la ciencia podría caracterizarse como el estudio de las ideas científicas, pensadas, asumidas y practicadas por los hombres y grupos sociales y sus relaciones con la situación, intentando explicar su producción, sus características, su vigencia y su proyección histórica.</w:t>
      </w:r>
    </w:p>
    <w:p w:rsidR="0015374D" w:rsidRPr="003D69F3" w:rsidRDefault="0015374D"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Tales consideraciones no deben conducirnos a descuidar el estudio interno de los sistemas de ideas.</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Podríamos afirmar con Ortega y Gasset, en una paráfrasis que las ideas no tie</w:t>
      </w:r>
      <w:r w:rsidR="00973FEE" w:rsidRPr="003D69F3">
        <w:rPr>
          <w:rFonts w:ascii="Times New Roman" w:hAnsi="Times New Roman" w:cs="Times New Roman"/>
          <w:sz w:val="20"/>
          <w:szCs w:val="20"/>
        </w:rPr>
        <w:t>nen naturaleza sino historia, o</w:t>
      </w:r>
      <w:r w:rsidRPr="003D69F3">
        <w:rPr>
          <w:rFonts w:ascii="Times New Roman" w:hAnsi="Times New Roman" w:cs="Times New Roman"/>
          <w:sz w:val="20"/>
          <w:szCs w:val="20"/>
        </w:rPr>
        <w:t>, que la naturaleza de las ideas se comprende al entender el proceso histórico en función del cual surgen.</w:t>
      </w:r>
    </w:p>
    <w:p w:rsidR="0015374D" w:rsidRPr="003D69F3" w:rsidRDefault="0015374D"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Habiendo realizado las aclaraciones previas, digamos que toda epistemología supone una lógica y a su vez un tipo de historia de la ciencia. En este sentido, la llamada concepción heredada o estándar view representada en particular por el neopositivismo y Popper se manejan con una lógica formal bivalente, que para muchos es la única que amerita el calificativo de científica( lo cual compromete con un concepto de ciencia),</w:t>
      </w:r>
      <w:r w:rsidR="00973FEE" w:rsidRPr="003D69F3">
        <w:rPr>
          <w:rFonts w:ascii="Times New Roman" w:hAnsi="Times New Roman" w:cs="Times New Roman"/>
          <w:sz w:val="20"/>
          <w:szCs w:val="20"/>
        </w:rPr>
        <w:t xml:space="preserve"> y</w:t>
      </w:r>
      <w:r w:rsidRPr="003D69F3">
        <w:rPr>
          <w:rFonts w:ascii="Times New Roman" w:hAnsi="Times New Roman" w:cs="Times New Roman"/>
          <w:sz w:val="20"/>
          <w:szCs w:val="20"/>
        </w:rPr>
        <w:t xml:space="preserve"> desarrollan un modelo internalista de historia de la ciencia</w:t>
      </w:r>
      <w:r w:rsidR="00973FEE" w:rsidRPr="003D69F3">
        <w:rPr>
          <w:rFonts w:ascii="Times New Roman" w:hAnsi="Times New Roman" w:cs="Times New Roman"/>
          <w:sz w:val="20"/>
          <w:szCs w:val="20"/>
        </w:rPr>
        <w:t>. Es decir, la ciencia se desarrollaría con una lógica intrateórica, en donde lo externo a la misma es irrelevante.</w:t>
      </w:r>
    </w:p>
    <w:p w:rsidR="00973FEE" w:rsidRPr="003D69F3" w:rsidRDefault="00973FEE"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A su vez, la escuela materialista francesa iniciada básicamente por G. Bachelard y sus continuadores serían más proclives a considerar aspectos extrateóricos en el desarrollo del conocimiento y en forma, de algún modo implícita, aceptan otros modelos lógicos por ejemplo con fundamentos dialécticos.</w:t>
      </w:r>
    </w:p>
    <w:p w:rsidR="00E37131" w:rsidRPr="003D69F3" w:rsidRDefault="00973FEE"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Sin embargo, no se trata a nuestro entender de asumir una u otra, sino las bondades de cada una, no su confrontación.</w:t>
      </w:r>
    </w:p>
    <w:p w:rsidR="00973FEE" w:rsidRPr="003D69F3" w:rsidRDefault="00973FEE"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 xml:space="preserve">El reduccionismo es un riesgo que nos puede llevar a lo que  Morín llama una </w:t>
      </w:r>
      <w:r w:rsidRPr="003D69F3">
        <w:rPr>
          <w:rFonts w:ascii="Times New Roman" w:hAnsi="Times New Roman" w:cs="Times New Roman"/>
          <w:i/>
          <w:sz w:val="20"/>
          <w:szCs w:val="20"/>
        </w:rPr>
        <w:t xml:space="preserve">racionalización </w:t>
      </w:r>
      <w:r w:rsidRPr="003D69F3">
        <w:rPr>
          <w:rFonts w:ascii="Times New Roman" w:hAnsi="Times New Roman" w:cs="Times New Roman"/>
          <w:sz w:val="20"/>
          <w:szCs w:val="20"/>
        </w:rPr>
        <w:t>, esto es a cerrar una racionalidad y erigirla como única. Paradójicamente Popper hablaba de la verdad como idea regulativa, en donde el conocimiento cobraba en sus logros un carácter asintótico; y en tal sentido inalcanzable, pero a su vez deshecha cualquier metodología que no se maneje con su criterio. La verdad es inalcanz</w:t>
      </w:r>
      <w:r w:rsidR="003D69F3" w:rsidRPr="003D69F3">
        <w:rPr>
          <w:rFonts w:ascii="Times New Roman" w:hAnsi="Times New Roman" w:cs="Times New Roman"/>
          <w:sz w:val="20"/>
          <w:szCs w:val="20"/>
        </w:rPr>
        <w:t xml:space="preserve">able, pero ¡he aquí la verdad! </w:t>
      </w:r>
      <w:r w:rsidRPr="003D69F3">
        <w:rPr>
          <w:rFonts w:ascii="Times New Roman" w:hAnsi="Times New Roman" w:cs="Times New Roman"/>
          <w:sz w:val="20"/>
          <w:szCs w:val="20"/>
        </w:rPr>
        <w:t>Se opera una racionalización.</w:t>
      </w:r>
    </w:p>
    <w:p w:rsidR="00973FEE" w:rsidRPr="003D69F3" w:rsidRDefault="00973FEE" w:rsidP="002C213E">
      <w:pPr>
        <w:ind w:left="360"/>
        <w:jc w:val="both"/>
        <w:rPr>
          <w:rFonts w:ascii="Times New Roman" w:hAnsi="Times New Roman" w:cs="Times New Roman"/>
          <w:sz w:val="20"/>
          <w:szCs w:val="20"/>
        </w:rPr>
      </w:pPr>
      <w:r w:rsidRPr="003D69F3">
        <w:rPr>
          <w:rFonts w:ascii="Times New Roman" w:hAnsi="Times New Roman" w:cs="Times New Roman"/>
          <w:i/>
          <w:sz w:val="20"/>
          <w:szCs w:val="20"/>
        </w:rPr>
        <w:t>SOBRE MAPAS O MODELOS</w:t>
      </w:r>
      <w:r w:rsidRPr="003D69F3">
        <w:rPr>
          <w:rFonts w:ascii="Times New Roman" w:hAnsi="Times New Roman" w:cs="Times New Roman"/>
          <w:sz w:val="20"/>
          <w:szCs w:val="20"/>
        </w:rPr>
        <w:t>. “El mapa no es el territorio” (Korzibsky)</w:t>
      </w:r>
    </w:p>
    <w:p w:rsidR="0025770C" w:rsidRPr="003D69F3" w:rsidRDefault="0025770C"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¿Qué es un modelo? Para dar respuesta a esta cuestión nos serviremos particularmente de conceptos que nos ofrecen dos autores: Gérard Fourez, en “La construcción del conocimiento científico”, Gregory Bateson, en “Pasos hacia una ecología de la mente”. El primero de los autores citados afirma:</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“En la práctica, podemos considerar que leyes y teorías son modelos, es decir; representaciones que encontramos interesantes. Esto no implica que todos los modelos teóricos tengan las mismas funciones (…) cada uno de esos modelos comparten, sin embargo, con otros, el ser una representación del mundo que en determinados contextos juzgamos práctica(o útil).”</w:t>
      </w:r>
    </w:p>
    <w:p w:rsidR="0025770C" w:rsidRPr="003D69F3" w:rsidRDefault="0025770C"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 xml:space="preserve">Sin duda, el autor se refiere en particular a las teorías empíricas. No obstante, nosotros entendemos que se pueden aplicar los conceptos a las teorías abstractas y eventualmente de carácter instrumental que nos ofrecen las lógicas. Porque si no, ¿para qué se hacen? Aun si fuera por lo lúdico tienen un fin. También ocurre cuando nos ofrecen una herramienta valiosa que oficia de esqueleto de una teoría </w:t>
      </w:r>
      <w:r w:rsidRPr="003D69F3">
        <w:rPr>
          <w:rFonts w:ascii="Times New Roman" w:hAnsi="Times New Roman" w:cs="Times New Roman"/>
          <w:sz w:val="20"/>
          <w:szCs w:val="20"/>
        </w:rPr>
        <w:lastRenderedPageBreak/>
        <w:t>factual. Incluso las matemáticas “puras”( si cabe el término) suelen usarse para el sustento lógico de distintas teorías en sus fundamentaciones, aunque no se apliquen de inmediato. Por ejemplo, la geometría de Riemann que fue usada por Einstein.</w:t>
      </w:r>
    </w:p>
    <w:p w:rsidR="0025770C" w:rsidRPr="003D69F3" w:rsidRDefault="0025770C"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El desarrollo de la lógica simbólica permitió el de la computación. La dialéctica se aplicó a la interpretación de las sociedades y la historia. Los modelos lógicos divergentes, en la teoría del caos, etc.</w:t>
      </w:r>
      <w:r w:rsidR="002C213E" w:rsidRPr="003D69F3">
        <w:rPr>
          <w:rFonts w:ascii="Times New Roman" w:hAnsi="Times New Roman" w:cs="Times New Roman"/>
          <w:sz w:val="20"/>
          <w:szCs w:val="20"/>
        </w:rPr>
        <w:t xml:space="preserve"> </w:t>
      </w:r>
      <w:r w:rsidR="00893E3F" w:rsidRPr="003D69F3">
        <w:rPr>
          <w:rFonts w:ascii="Times New Roman" w:hAnsi="Times New Roman" w:cs="Times New Roman"/>
          <w:sz w:val="20"/>
          <w:szCs w:val="20"/>
        </w:rPr>
        <w:t>Es decir: desde que abordamos una situación tenemos cierta idea o “modelo” de cómo se la podría representar y de ver cómo eso funciona y, en definitiva, si nos satisface</w:t>
      </w:r>
      <w:r w:rsidR="00761C93" w:rsidRPr="003D69F3">
        <w:rPr>
          <w:rFonts w:ascii="Times New Roman" w:hAnsi="Times New Roman" w:cs="Times New Roman"/>
          <w:sz w:val="20"/>
          <w:szCs w:val="20"/>
        </w:rPr>
        <w:t>. Enfrentamos el mundo con ciertas ideas: desde los mitos clásicos hasta las teorías científicas más sofisticadas.</w:t>
      </w:r>
    </w:p>
    <w:p w:rsidR="00761C93" w:rsidRPr="003D69F3" w:rsidRDefault="00761C93"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Ahora bien: no hay una sola manera de representarse el mundo- sino múltiples- que nos resultan más o menos satisfactorias, según nuestros proyectos. Si tales representaciones no nos gustan las sustituimos por otras.</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Como dice Fourez: “nuestros modelos parten siempre de una visión relacionada con la vida cotidiana, una visión espontánea, evidentemente condicionada por la cultura. Van unidos a una forma de vida, a una cultura, a intereses, a una multiplicidad de proyectos (…) son creaciones del espíritu humano (…) pueden considerarse un tipo de instrumentos intelectuales”.</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La pregunta es si tales visiones son necesarias o contingentes. ¿Quién decide cuáles son las buenas?...</w:t>
      </w:r>
    </w:p>
    <w:p w:rsidR="00761C93" w:rsidRPr="003D69F3" w:rsidRDefault="00761C93"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Los modelos o teorías semejan los mapas geográficos. Son un modo de situarse en el terreno, pero no una imagen icónica. Es decir, el mapa no es el territorio. El mapa nos permite entender, en parte, el territorio y actuar sobre él. Pero no existe una correspondencia biunívoca entre ambas cosas. De este modo, lo científico y lo metafórico son semejantes y tienen que ver con la dinámica creativa. Por ejemplo en matemáticas, en una heurística a partir de casos particulares se alcanza la generalidad, mientras que otros parten de la generalidad de las hipótesis, etc.</w:t>
      </w:r>
    </w:p>
    <w:p w:rsidR="00761C93" w:rsidRPr="003D69F3" w:rsidRDefault="00761C93"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Como afirma Mach: “la verdadera relación que existe entre distintas teorías  es de orden histórico. La una lleva más lejos en un orden de ideas, pero otra conducirá más lejos en otros asuntos”. Un modelo o mapa no funciona fuera de contexto, no es conocimiento por sí mismo, si no dentro de la red contextual que le da sentido.</w:t>
      </w:r>
    </w:p>
    <w:p w:rsidR="00761C93" w:rsidRPr="003D69F3" w:rsidRDefault="00C306B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Recordamos que la admisión de distintas “verdades”, “mapas” o “modelos” no deberían conducirnos a un relativismo, puesto que escogemos e intentamos mostrarle al otro la supremacía del mapa que defendemos. Pero no podemos creer en un único mapa so riesgo de totalitarismo.</w:t>
      </w:r>
    </w:p>
    <w:p w:rsidR="00C306BA" w:rsidRPr="003D69F3" w:rsidRDefault="00C306B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 xml:space="preserve">Lo anterior nos remite a la revisión del concepto de utopía (independientemente de aquello que, para cada uno, entre o no en esa categoría). Aquí nos remitimos al contenido que le da Franz Hinkelammert. Él llama utopía a </w:t>
      </w:r>
      <w:r w:rsidR="009B708C" w:rsidRPr="003D69F3">
        <w:rPr>
          <w:rFonts w:ascii="Times New Roman" w:hAnsi="Times New Roman" w:cs="Times New Roman"/>
          <w:sz w:val="20"/>
          <w:szCs w:val="20"/>
        </w:rPr>
        <w:t xml:space="preserve">“… aquellas metas que no se podían realizar ni con el acuerdo unánime de toda la humanidad. Se trata, por ende, de un imposible más allá de la acción humana como tal, que ninguna política puede hacer posible, sea ella como sea (…) se trata de metas coherentes y hasta deseables, que sin embargo se escapan a la acción de una manera tal que el intento de realizarlas destruye las posibilidades de alcanzarlas.”(…) Pero “la utopía se convierte en fuente de inspiración, en referencia del juicio, en reflexión del sentido.” (…) “Es `idea regulativa´ al decir de Kant”. Así entendida, quizás oficie como “el mapa” por excelencia. Sin embargo todos los pensamientos fuertes, en tanto que concepciones o representaciones de la realidad, han presentado su utopía, y todas han sido o son distintas. Cada uno de nosotros poseemos la(s) nuestra(s), y sería conveniente no olvidar que nos puede conducir tanto </w:t>
      </w:r>
      <w:r w:rsidR="0096393C" w:rsidRPr="003D69F3">
        <w:rPr>
          <w:rFonts w:ascii="Times New Roman" w:hAnsi="Times New Roman" w:cs="Times New Roman"/>
          <w:sz w:val="20"/>
          <w:szCs w:val="20"/>
        </w:rPr>
        <w:t xml:space="preserve">a “la ceguera” de querer realizarla a cualquier costo, o a “la iluminación” de ofrecernos un referente para nuestra brújula en el camino. </w:t>
      </w:r>
    </w:p>
    <w:p w:rsidR="0096393C" w:rsidRPr="003D69F3" w:rsidRDefault="0096393C"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Si es así, entonces, cobraría un carácter asintótico ya que vale la pena seguirla aunque jamás la alcancemos. (Sin olvidar, tampoco, el aspecto histórico de la propia utopía).</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En nuestro caso, asumimos como criterio matricial: la producción y la reproducción de la vida real, material y concreta, o sea, de los seres humanos y la naturaleza para evaluar cualquier mapa, modelo o teoría. E intentamos bregar por tal criterio, lo cual no implica que no existan otros.</w:t>
      </w:r>
      <w:r w:rsidR="002C213E" w:rsidRPr="003D69F3">
        <w:rPr>
          <w:rFonts w:ascii="Times New Roman" w:hAnsi="Times New Roman" w:cs="Times New Roman"/>
          <w:sz w:val="20"/>
          <w:szCs w:val="20"/>
        </w:rPr>
        <w:t xml:space="preserve">  </w:t>
      </w:r>
      <w:r w:rsidR="00C0706D" w:rsidRPr="003D69F3">
        <w:rPr>
          <w:rFonts w:ascii="Times New Roman" w:hAnsi="Times New Roman" w:cs="Times New Roman"/>
          <w:sz w:val="20"/>
          <w:szCs w:val="20"/>
        </w:rPr>
        <w:t>A la vista está que los criterios dominantes y orientadores de hoy son diametralmente opuestos.</w:t>
      </w:r>
    </w:p>
    <w:p w:rsidR="006D4793" w:rsidRPr="003D69F3" w:rsidRDefault="00C0706D"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lastRenderedPageBreak/>
        <w:t xml:space="preserve">Ahora citemos al otro autor mencionado en el apartado, es decir Bateson: </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“Sostengo que los cien años últimos han demostrado empíricamente que si un organismo o agregado de organismos se pone a trabajar con el interés centrado en la propia supervivencia y piensa que esta es la manera de seleccionar sus movimientos adaptativos, su progreso desembocará en la destrucción del ambiente</w:t>
      </w:r>
      <w:r w:rsidR="004A7B66" w:rsidRPr="003D69F3">
        <w:rPr>
          <w:rFonts w:ascii="Times New Roman" w:hAnsi="Times New Roman" w:cs="Times New Roman"/>
          <w:sz w:val="20"/>
          <w:szCs w:val="20"/>
        </w:rPr>
        <w:t>. Si el organismo termina por destruir su ambiente, de hecho, se ha destruido a sí mismo”.</w:t>
      </w:r>
      <w:r w:rsidR="002C213E" w:rsidRPr="003D69F3">
        <w:rPr>
          <w:rFonts w:ascii="Times New Roman" w:hAnsi="Times New Roman" w:cs="Times New Roman"/>
          <w:sz w:val="20"/>
          <w:szCs w:val="20"/>
        </w:rPr>
        <w:t xml:space="preserve"> </w:t>
      </w:r>
      <w:r w:rsidR="006D4793" w:rsidRPr="003D69F3">
        <w:rPr>
          <w:rFonts w:ascii="Times New Roman" w:hAnsi="Times New Roman" w:cs="Times New Roman"/>
          <w:sz w:val="20"/>
          <w:szCs w:val="20"/>
        </w:rPr>
        <w:t xml:space="preserve">Nuestro sistema aplica esto que, a la postre, genera un mecanismo entrópico que lo autodestruye paulatinamente. </w:t>
      </w:r>
      <w:r w:rsidR="002C213E" w:rsidRPr="003D69F3">
        <w:rPr>
          <w:rFonts w:ascii="Times New Roman" w:hAnsi="Times New Roman" w:cs="Times New Roman"/>
          <w:sz w:val="20"/>
          <w:szCs w:val="20"/>
        </w:rPr>
        <w:t xml:space="preserve"> </w:t>
      </w:r>
      <w:r w:rsidR="006D4793" w:rsidRPr="003D69F3">
        <w:rPr>
          <w:rFonts w:ascii="Times New Roman" w:hAnsi="Times New Roman" w:cs="Times New Roman"/>
          <w:sz w:val="20"/>
          <w:szCs w:val="20"/>
        </w:rPr>
        <w:t>Sin duda, es otro “mapa”.</w:t>
      </w:r>
    </w:p>
    <w:p w:rsidR="006D4793" w:rsidRPr="003D69F3" w:rsidRDefault="006D4793"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Ahora, volviendo a las relaciones más específicas entre mapa y territorio, ¿qué es lo que pasa del territorio al mapa? Si hablamos de un trozo de “tiza” como “la cosa en sí”(“Ding an sich”), el trozo de tiza no puede ser exhaustivamente determinado por el lenguaje, debido a su infinitud. Nuestros receptores sensoriales la filtran y la excluyen, elijen del trozo de tiza ciertos aspectos que luego son información. Y, de hecho, una información es una diferencia que hace la diferencia.</w:t>
      </w:r>
    </w:p>
    <w:p w:rsidR="005916A1" w:rsidRPr="003D69F3" w:rsidRDefault="006D4793"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Por eso, ¿qué es el territorio?</w:t>
      </w:r>
      <w:r w:rsidR="002C213E" w:rsidRPr="003D69F3">
        <w:rPr>
          <w:rFonts w:ascii="Times New Roman" w:hAnsi="Times New Roman" w:cs="Times New Roman"/>
          <w:sz w:val="20"/>
          <w:szCs w:val="20"/>
        </w:rPr>
        <w:t xml:space="preserve"> El</w:t>
      </w:r>
      <w:r w:rsidR="005916A1" w:rsidRPr="003D69F3">
        <w:rPr>
          <w:rFonts w:ascii="Times New Roman" w:hAnsi="Times New Roman" w:cs="Times New Roman"/>
          <w:sz w:val="20"/>
          <w:szCs w:val="20"/>
        </w:rPr>
        <w:t xml:space="preserve"> territorio es “Ding an sich”. Y cuando queremos dar cuenta de él, nos topamos con una regresión al infinito que presupone una multiplicidad de mapas, ya que es lo absoluto. (Recordemos que el significado etimológico de la palabra absoluto es: “sin lazo”).</w:t>
      </w:r>
      <w:r w:rsidR="002C213E" w:rsidRPr="003D69F3">
        <w:rPr>
          <w:rFonts w:ascii="Times New Roman" w:hAnsi="Times New Roman" w:cs="Times New Roman"/>
          <w:sz w:val="20"/>
          <w:szCs w:val="20"/>
        </w:rPr>
        <w:t xml:space="preserve"> </w:t>
      </w:r>
      <w:r w:rsidR="005916A1" w:rsidRPr="003D69F3">
        <w:rPr>
          <w:rFonts w:ascii="Times New Roman" w:hAnsi="Times New Roman" w:cs="Times New Roman"/>
          <w:sz w:val="20"/>
          <w:szCs w:val="20"/>
        </w:rPr>
        <w:t>Y, como afirma Bateson: “Pero hay diferencias entre diferencias. Cada diferencia efectiva denota una demarcación, una línea de clasificación, y toda clasificación es jerárquica. Dicho con otras palabras: las diferencias tienen que ser diferenciadas y clasificadas”.</w:t>
      </w:r>
    </w:p>
    <w:p w:rsidR="005916A1" w:rsidRPr="003D69F3" w:rsidRDefault="005916A1"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A través de lo expuesto, pretendemos mostrar que no es buena cosa ontologizar una concepción de la realidad.</w:t>
      </w:r>
      <w:r w:rsidR="002C213E" w:rsidRPr="003D69F3">
        <w:rPr>
          <w:rFonts w:ascii="Times New Roman" w:hAnsi="Times New Roman" w:cs="Times New Roman"/>
          <w:sz w:val="20"/>
          <w:szCs w:val="20"/>
        </w:rPr>
        <w:t xml:space="preserve"> </w:t>
      </w:r>
      <w:r w:rsidRPr="003D69F3">
        <w:rPr>
          <w:rFonts w:ascii="Times New Roman" w:hAnsi="Times New Roman" w:cs="Times New Roman"/>
          <w:sz w:val="20"/>
          <w:szCs w:val="20"/>
        </w:rPr>
        <w:t>El propio concepto de realidad, que también es polisémico nosotros lo entendemos refiriéndose a algo a la vez objetivo y subjetivo, porque si bien aparece como  lo dado y se me impone, es el escenario donde los seres humanos proyectan sus amplias redes de significaciones, sin olvidar su carácter histórico.</w:t>
      </w:r>
    </w:p>
    <w:p w:rsidR="005916A1" w:rsidRPr="003D69F3" w:rsidRDefault="005916A1" w:rsidP="002C213E">
      <w:pPr>
        <w:ind w:left="360"/>
        <w:jc w:val="both"/>
        <w:rPr>
          <w:rFonts w:ascii="Times New Roman" w:hAnsi="Times New Roman" w:cs="Times New Roman"/>
          <w:i/>
          <w:sz w:val="20"/>
          <w:szCs w:val="20"/>
        </w:rPr>
      </w:pPr>
      <w:r w:rsidRPr="003D69F3">
        <w:rPr>
          <w:rFonts w:ascii="Times New Roman" w:hAnsi="Times New Roman" w:cs="Times New Roman"/>
          <w:i/>
          <w:sz w:val="20"/>
          <w:szCs w:val="20"/>
        </w:rPr>
        <w:t>HISTORIA INTERNA VS</w:t>
      </w:r>
      <w:r w:rsidR="002C213E" w:rsidRPr="003D69F3">
        <w:rPr>
          <w:rFonts w:ascii="Times New Roman" w:hAnsi="Times New Roman" w:cs="Times New Roman"/>
          <w:i/>
          <w:sz w:val="20"/>
          <w:szCs w:val="20"/>
        </w:rPr>
        <w:t>.</w:t>
      </w:r>
      <w:r w:rsidRPr="003D69F3">
        <w:rPr>
          <w:rFonts w:ascii="Times New Roman" w:hAnsi="Times New Roman" w:cs="Times New Roman"/>
          <w:i/>
          <w:sz w:val="20"/>
          <w:szCs w:val="20"/>
        </w:rPr>
        <w:t xml:space="preserve"> HISTORIA EXTERNA DE LA CIENCIA</w:t>
      </w:r>
    </w:p>
    <w:p w:rsidR="00C0706D" w:rsidRPr="003D69F3" w:rsidRDefault="005916A1"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Por ello, entendemos que es un pseudo-debate</w:t>
      </w:r>
      <w:r w:rsidR="004A7B66" w:rsidRPr="003D69F3">
        <w:rPr>
          <w:rFonts w:ascii="Times New Roman" w:hAnsi="Times New Roman" w:cs="Times New Roman"/>
          <w:sz w:val="20"/>
          <w:szCs w:val="20"/>
        </w:rPr>
        <w:t xml:space="preserve"> </w:t>
      </w:r>
      <w:r w:rsidRPr="003D69F3">
        <w:rPr>
          <w:rFonts w:ascii="Times New Roman" w:hAnsi="Times New Roman" w:cs="Times New Roman"/>
          <w:sz w:val="20"/>
          <w:szCs w:val="20"/>
        </w:rPr>
        <w:t>hablar de historia interna vs historia externa de la ciencia. Existe una dialéctica en donde lo interno se hace externo y viceversa. Es fácil advertir los impactos de la tecnociencia en la sociedad, pero a su vez la sociedad demanda e introduce las mismas demandas en el interior de la producción científica. No se trata de descuidar los aspectos estructurales lógicos y metodológicos en el plano intrateórico, pero no quedarse sólo en una suerte de itinerario en donde el contexto de justificación de la teoría es el único que importa o el de descubrimiento desembocando en un sociologismo.</w:t>
      </w:r>
    </w:p>
    <w:p w:rsidR="005916A1" w:rsidRPr="003D69F3" w:rsidRDefault="005916A1"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 xml:space="preserve">Esto, sin olvidar la ampliación a los contextos de aplicación y de educación de las comunidades científicas en sus disciplinas, todas estas cuestiones interactúan en un conjunto. Separarlas sólo se justifica para analizar un aspecto en particular, ya sea la lógica interna de la teoría, las condiciones en las que se produjo, las aplicaciones de la misma, o como se educan a los futuros científicos; pero luego debemos volver a la complejidad del conjunto interconectado. </w:t>
      </w:r>
      <w:r w:rsidR="00FF6DF5" w:rsidRPr="003D69F3">
        <w:rPr>
          <w:rFonts w:ascii="Times New Roman" w:hAnsi="Times New Roman" w:cs="Times New Roman"/>
          <w:sz w:val="20"/>
          <w:szCs w:val="20"/>
        </w:rPr>
        <w:t>Tanto la historia de la ciencia como la epistemología y la lógica no se ocupan de un solo aspecto. De lo contrario, sería congelar la película en un cuadro de la misma, ignorando su entramado complejo.</w:t>
      </w:r>
    </w:p>
    <w:p w:rsidR="00FF6DF5" w:rsidRPr="003D69F3" w:rsidRDefault="00FF6DF5" w:rsidP="002C213E">
      <w:pPr>
        <w:ind w:left="360"/>
        <w:jc w:val="both"/>
        <w:rPr>
          <w:rFonts w:ascii="Times New Roman" w:hAnsi="Times New Roman" w:cs="Times New Roman"/>
          <w:i/>
          <w:sz w:val="20"/>
          <w:szCs w:val="20"/>
        </w:rPr>
      </w:pPr>
      <w:r w:rsidRPr="003D69F3">
        <w:rPr>
          <w:rFonts w:ascii="Times New Roman" w:hAnsi="Times New Roman" w:cs="Times New Roman"/>
          <w:i/>
          <w:sz w:val="20"/>
          <w:szCs w:val="20"/>
        </w:rPr>
        <w:t>CUESTIONES LÓGICAS</w:t>
      </w:r>
    </w:p>
    <w:p w:rsidR="00FF6DF5" w:rsidRPr="003D69F3" w:rsidRDefault="00FF6DF5"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En materia de lógica, hace más de dos mil años se generó una disputa en la cual una postura triunfó en la antigua Grecia y permanece aun en nuestros días. Si bien hubo cambios, lo medular domina.</w:t>
      </w:r>
    </w:p>
    <w:p w:rsidR="00FF6DF5" w:rsidRPr="003D69F3" w:rsidRDefault="00FF6DF5"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Nos permitimos aclarar de inmediato que ninguna forma de pensamiento desplaza definitivamente a la anterior. Una metáfora que nos ofrece Jesús Mosterín, el español, dice que el pensamiento semeja una cebolla en su historia; las capas se superponen, pero sería erróneo confundir la piel o cáscara de la cebolla- que sería el pensamiento actual- con toda la cebolla pues en su centro aún están, como en nosotros, los impulsos más primitivos, el pensamiento arcaico, mítico, etc.</w:t>
      </w:r>
    </w:p>
    <w:p w:rsidR="00FF6DF5" w:rsidRPr="003D69F3" w:rsidRDefault="00FF6DF5"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lastRenderedPageBreak/>
        <w:t>Va</w:t>
      </w:r>
      <w:r w:rsidR="00847400" w:rsidRPr="003D69F3">
        <w:rPr>
          <w:rFonts w:ascii="Times New Roman" w:hAnsi="Times New Roman" w:cs="Times New Roman"/>
          <w:sz w:val="20"/>
          <w:szCs w:val="20"/>
        </w:rPr>
        <w:t>ya</w:t>
      </w:r>
      <w:r w:rsidRPr="003D69F3">
        <w:rPr>
          <w:rFonts w:ascii="Times New Roman" w:hAnsi="Times New Roman" w:cs="Times New Roman"/>
          <w:sz w:val="20"/>
          <w:szCs w:val="20"/>
        </w:rPr>
        <w:t>mos al tema: en su lógica, un interesantísimo libro (a nuestro entender) de María Luisa Dalla Chiara Scabia, la autora plantea, al comienzo, ciertas interrogantes a las cuales da respuesta luego de recorrer un arduo trecho.</w:t>
      </w:r>
      <w:r w:rsidR="00FE0C26" w:rsidRPr="003D69F3">
        <w:rPr>
          <w:rFonts w:ascii="Times New Roman" w:hAnsi="Times New Roman" w:cs="Times New Roman"/>
          <w:sz w:val="20"/>
          <w:szCs w:val="20"/>
        </w:rPr>
        <w:t xml:space="preserve"> </w:t>
      </w:r>
      <w:r w:rsidRPr="003D69F3">
        <w:rPr>
          <w:rFonts w:ascii="Times New Roman" w:hAnsi="Times New Roman" w:cs="Times New Roman"/>
          <w:sz w:val="20"/>
          <w:szCs w:val="20"/>
        </w:rPr>
        <w:t>Nosotros nos apropiamos de ellas con la finalidad de situar el problema. Sin embargo aclaramos que la inten</w:t>
      </w:r>
      <w:r w:rsidR="00847400" w:rsidRPr="003D69F3">
        <w:rPr>
          <w:rFonts w:ascii="Times New Roman" w:hAnsi="Times New Roman" w:cs="Times New Roman"/>
          <w:sz w:val="20"/>
          <w:szCs w:val="20"/>
        </w:rPr>
        <w:t>c</w:t>
      </w:r>
      <w:r w:rsidRPr="003D69F3">
        <w:rPr>
          <w:rFonts w:ascii="Times New Roman" w:hAnsi="Times New Roman" w:cs="Times New Roman"/>
          <w:sz w:val="20"/>
          <w:szCs w:val="20"/>
        </w:rPr>
        <w:t>ión es tocar otros aspectos que nos parecen importantes, a parte de los que plantea la autora sin menosprecio de los mismos, pero con respecto a los cuales entendemos que ella contestó con una solvencia y capacidad técnica que no poseemos.</w:t>
      </w:r>
    </w:p>
    <w:p w:rsidR="00FF6DF5" w:rsidRPr="003D69F3" w:rsidRDefault="00FF6DF5"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Las interrogantes referidas son las siguientes:</w:t>
      </w:r>
    </w:p>
    <w:p w:rsidR="00FF6DF5" w:rsidRPr="003D69F3" w:rsidRDefault="00FF6DF5"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1 ¿Es posible que dos personajes se den cuenta que emplean lógicas diferentes?</w:t>
      </w:r>
    </w:p>
    <w:p w:rsidR="00FF6DF5" w:rsidRPr="003D69F3" w:rsidRDefault="00FF6DF5"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2 ¿Podrá tener cada uno la capacidad de describir la lógica de su interlocutor?</w:t>
      </w:r>
    </w:p>
    <w:p w:rsidR="00E510C8" w:rsidRPr="003D69F3" w:rsidRDefault="0043618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3 ¿</w:t>
      </w:r>
      <w:r w:rsidR="00FF6DF5" w:rsidRPr="003D69F3">
        <w:rPr>
          <w:rFonts w:ascii="Times New Roman" w:hAnsi="Times New Roman" w:cs="Times New Roman"/>
          <w:sz w:val="20"/>
          <w:szCs w:val="20"/>
        </w:rPr>
        <w:t>Puede admitirse que un mismo ser inteligente se sirva de lógicas diferentes en situaciones distintas, conservando un co</w:t>
      </w:r>
      <w:r w:rsidR="00AD1BDC" w:rsidRPr="003D69F3">
        <w:rPr>
          <w:rFonts w:ascii="Times New Roman" w:hAnsi="Times New Roman" w:cs="Times New Roman"/>
          <w:sz w:val="20"/>
          <w:szCs w:val="20"/>
        </w:rPr>
        <w:t>mportamiento racional coherente</w:t>
      </w:r>
    </w:p>
    <w:p w:rsidR="00FF6DF5" w:rsidRPr="003D69F3" w:rsidRDefault="00AD1BDC"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 xml:space="preserve"> 4 ¿</w:t>
      </w:r>
      <w:r w:rsidR="00E510C8" w:rsidRPr="003D69F3">
        <w:rPr>
          <w:rFonts w:ascii="Times New Roman" w:hAnsi="Times New Roman" w:cs="Times New Roman"/>
          <w:sz w:val="20"/>
          <w:szCs w:val="20"/>
        </w:rPr>
        <w:t>O</w:t>
      </w:r>
      <w:r w:rsidRPr="003D69F3">
        <w:rPr>
          <w:rFonts w:ascii="Times New Roman" w:hAnsi="Times New Roman" w:cs="Times New Roman"/>
          <w:sz w:val="20"/>
          <w:szCs w:val="20"/>
        </w:rPr>
        <w:t xml:space="preserve"> que la experie</w:t>
      </w:r>
      <w:r w:rsidR="00E510C8" w:rsidRPr="003D69F3">
        <w:rPr>
          <w:rFonts w:ascii="Times New Roman" w:hAnsi="Times New Roman" w:cs="Times New Roman"/>
          <w:sz w:val="20"/>
          <w:szCs w:val="20"/>
        </w:rPr>
        <w:t>ncia determine qué lógica usar?</w:t>
      </w:r>
    </w:p>
    <w:p w:rsidR="0043618A" w:rsidRPr="003D69F3" w:rsidRDefault="0043618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5 Sea cual fuere la respuesta que se otorgue a las interrogantes anteriores, ¿existe necesariamente una lógica privilegiada que constituya el fundamento de todas las demás?</w:t>
      </w:r>
    </w:p>
    <w:p w:rsidR="0043618A" w:rsidRPr="003D69F3" w:rsidRDefault="0043618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La autora hace una breve historia del concepto “lógica” al inicio de su obra, en particular del carácter polisémico del término. Sin embargo culmina diciendo que se va a limitar a la lógica científica.</w:t>
      </w:r>
      <w:r w:rsidR="00FE0C26" w:rsidRPr="003D69F3">
        <w:rPr>
          <w:rFonts w:ascii="Times New Roman" w:hAnsi="Times New Roman" w:cs="Times New Roman"/>
          <w:sz w:val="20"/>
          <w:szCs w:val="20"/>
        </w:rPr>
        <w:t xml:space="preserve"> </w:t>
      </w:r>
      <w:r w:rsidRPr="003D69F3">
        <w:rPr>
          <w:rFonts w:ascii="Times New Roman" w:hAnsi="Times New Roman" w:cs="Times New Roman"/>
          <w:sz w:val="20"/>
          <w:szCs w:val="20"/>
        </w:rPr>
        <w:t>Tal afirmación implica tácitamente asumir un concepto de ciencia. No nos parece mal que lo haga. Pero ¡atención! porque lo in</w:t>
      </w:r>
      <w:r w:rsidR="009940CA" w:rsidRPr="003D69F3">
        <w:rPr>
          <w:rFonts w:ascii="Times New Roman" w:hAnsi="Times New Roman" w:cs="Times New Roman"/>
          <w:sz w:val="20"/>
          <w:szCs w:val="20"/>
        </w:rPr>
        <w:t>s</w:t>
      </w:r>
      <w:r w:rsidRPr="003D69F3">
        <w:rPr>
          <w:rFonts w:ascii="Times New Roman" w:hAnsi="Times New Roman" w:cs="Times New Roman"/>
          <w:sz w:val="20"/>
          <w:szCs w:val="20"/>
        </w:rPr>
        <w:t>titucionalmente admitido en un momento histórico, o que se considera obvio o normal, no implica que sea cierto, en el sentido correspondentista de la verdad. Newton afirmó que el tiempo y el espacio eran absolutos en sí, independientemente de medios y agentes que lo registraran. Pero su afirmación no era cierta.</w:t>
      </w:r>
    </w:p>
    <w:p w:rsidR="0043618A" w:rsidRPr="003D69F3" w:rsidRDefault="0043618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Por eso la forma que cobra el carácter científico dominante no es ajena al contexto socio-cultural desde el que se enuncia. Lo cual no quiere decir que sea un mero producto o reflejo de dicho contexto. Pensamos que tiene su independencia relativa, en especial la ciencia. Ese carácter de “labor universal” con que Marx la caracteriza nos parece interesante</w:t>
      </w:r>
      <w:r w:rsidR="009940CA" w:rsidRPr="003D69F3">
        <w:rPr>
          <w:rFonts w:ascii="Times New Roman" w:hAnsi="Times New Roman" w:cs="Times New Roman"/>
          <w:sz w:val="20"/>
          <w:szCs w:val="20"/>
        </w:rPr>
        <w:t>. Pero creemos que se trata de una cuestión ideológica</w:t>
      </w:r>
      <w:r w:rsidR="0097407A" w:rsidRPr="003D69F3">
        <w:rPr>
          <w:rFonts w:ascii="Times New Roman" w:hAnsi="Times New Roman" w:cs="Times New Roman"/>
          <w:sz w:val="20"/>
          <w:szCs w:val="20"/>
        </w:rPr>
        <w:t>.</w:t>
      </w:r>
    </w:p>
    <w:p w:rsidR="0097407A" w:rsidRPr="003D69F3" w:rsidRDefault="0097407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 xml:space="preserve">Es indudable la primacía del modelo lógico formal  bivalente en cuestiones lógicas, y sin duda, se trata de un modelo muy fecundo, no obstante, no es el único modo de ordenación de los pensamientos. Están las lógicas polivalentes, modales, dialécticas, deónticas, etc. Sólo para plantear una dificultad de la lógica formal bivalente está la abstracción del tiempo. </w:t>
      </w:r>
      <w:r w:rsidR="00ED6980" w:rsidRPr="003D69F3">
        <w:rPr>
          <w:rFonts w:ascii="Times New Roman" w:hAnsi="Times New Roman" w:cs="Times New Roman"/>
          <w:sz w:val="20"/>
          <w:szCs w:val="20"/>
        </w:rPr>
        <w:t xml:space="preserve">O como decía nuestro J.L Massera en la sico y sociogénesis de las matemáticas hay cuestiones dialécticas o al decir de Wittgenstein ¿no serán las proposiciones lógico matemáticas formas en las que inferimos y calculamos cuestiones antropológicas? </w:t>
      </w:r>
    </w:p>
    <w:p w:rsidR="00ED6980" w:rsidRPr="003D69F3" w:rsidRDefault="00ED6980"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Desde esta perspectiva creemos que la pertinencia del sujeto es clave; no existen epistemologías, historias de la ciencia, ni lógicas sin sujeto cognoscente.</w:t>
      </w:r>
      <w:r w:rsidR="00BF334A" w:rsidRPr="003D69F3">
        <w:rPr>
          <w:rFonts w:ascii="Times New Roman" w:hAnsi="Times New Roman" w:cs="Times New Roman"/>
          <w:sz w:val="20"/>
          <w:szCs w:val="20"/>
        </w:rPr>
        <w:t xml:space="preserve"> </w:t>
      </w:r>
    </w:p>
    <w:p w:rsidR="00BF334A" w:rsidRPr="003D69F3" w:rsidRDefault="00BF334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 xml:space="preserve">Empecemos con la noción de sujeto. Nosotros partimos de la convicción de que el sujeto epistémico (al cual estudiamos al involucrarnos en algunas cuestiones que tienen que ver con epistemologías, historia de las ciencias y lógicas) no es más que la determinación reflexionante del sujeto vivo. Tal sujeto, es un sujeto de necesidades que a su vez, experimenta imposibilidades. Las categorías del pensamiento teórico se derivan de los límites de la acción y, por consiguiente estos límites de la acción determinan las formas del pensamiento (en este aspecto seguimos plenamente los conceptos vertidos por Franz Hinkelammert en su “Critica a la razón utópica” que nos resultan preclaras). De este modo, las ciencias </w:t>
      </w:r>
      <w:r w:rsidR="00847400" w:rsidRPr="003D69F3">
        <w:rPr>
          <w:rFonts w:ascii="Times New Roman" w:hAnsi="Times New Roman" w:cs="Times New Roman"/>
          <w:sz w:val="20"/>
          <w:szCs w:val="20"/>
        </w:rPr>
        <w:t>empíricas</w:t>
      </w:r>
      <w:r w:rsidRPr="003D69F3">
        <w:rPr>
          <w:rFonts w:ascii="Times New Roman" w:hAnsi="Times New Roman" w:cs="Times New Roman"/>
          <w:sz w:val="20"/>
          <w:szCs w:val="20"/>
        </w:rPr>
        <w:t xml:space="preserve"> no pueden hablar siquiera de la realidad sin implicar la acción </w:t>
      </w:r>
      <w:r w:rsidRPr="003D69F3">
        <w:rPr>
          <w:rFonts w:ascii="Times New Roman" w:hAnsi="Times New Roman" w:cs="Times New Roman"/>
          <w:sz w:val="20"/>
          <w:szCs w:val="20"/>
        </w:rPr>
        <w:lastRenderedPageBreak/>
        <w:t xml:space="preserve">humana,  en tal sentido son antropocéntricas e intersubjetivas. Las imposibilidades no lo son de por sí. Son imposibilidades humanas. </w:t>
      </w:r>
    </w:p>
    <w:p w:rsidR="00BF334A" w:rsidRPr="003D69F3" w:rsidRDefault="00BF334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El punto de partida es el sujeto actuante, el hombre como realizador.</w:t>
      </w:r>
    </w:p>
    <w:p w:rsidR="00BF334A" w:rsidRPr="003D69F3" w:rsidRDefault="00BF334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En cuanto el hombre desarrolla finalidades más allá de lo inmediatamente dado, puede experimentar imposibilidades. En la raíz de las ciencias se encuentra el sujeto humano que se acerca a la realidad con determinados fines y trabaja en función de estos fines. Las imposibilidades se experimentan porque se persiguen fines; sin la persecución de fines no pueden darse imposibilidades conocidas.</w:t>
      </w:r>
    </w:p>
    <w:p w:rsidR="00BF334A" w:rsidRPr="003D69F3" w:rsidRDefault="00BF334A"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 xml:space="preserve">El pensamiento científico se sostiene en el mito fundante de la modernidad: “La ilusión trascendental de los progresos infinitos mediatizados institucionalmente”. Desde aquí se plantea el doble carácter de imposibilidad-necesidad de una representación utópica. Imposibilidad de realización fáctica. Necesidad en cuanto inherencia </w:t>
      </w:r>
      <w:r w:rsidR="002139BF" w:rsidRPr="003D69F3">
        <w:rPr>
          <w:rFonts w:ascii="Times New Roman" w:hAnsi="Times New Roman" w:cs="Times New Roman"/>
          <w:sz w:val="20"/>
          <w:szCs w:val="20"/>
        </w:rPr>
        <w:t>de la condición humana de su representación. En la historia humana siempre existieron utopías, entendidas como representación de la plenitud y la perfección. Este doble carácter de imposibilidad-necesidad configura lo posible. Lo posible resulta del sometimiento de lo imposible a criterios de factibilidad.</w:t>
      </w:r>
    </w:p>
    <w:p w:rsidR="002139BF" w:rsidRPr="003D69F3" w:rsidRDefault="002139BF"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Por lo tanto, lo posible se delinea en el horizonte de la acción humana.</w:t>
      </w:r>
      <w:r w:rsidR="00FE0C26" w:rsidRPr="003D69F3">
        <w:rPr>
          <w:rFonts w:ascii="Times New Roman" w:hAnsi="Times New Roman" w:cs="Times New Roman"/>
          <w:sz w:val="20"/>
          <w:szCs w:val="20"/>
        </w:rPr>
        <w:t xml:space="preserve"> </w:t>
      </w:r>
      <w:r w:rsidRPr="003D69F3">
        <w:rPr>
          <w:rFonts w:ascii="Times New Roman" w:hAnsi="Times New Roman" w:cs="Times New Roman"/>
          <w:sz w:val="20"/>
          <w:szCs w:val="20"/>
        </w:rPr>
        <w:t>En tal sentido, lo posible es subjetivo. Por lo tanto, si se quita a los seres humanos de la ciencia, no hay más ciencia.</w:t>
      </w:r>
      <w:r w:rsidR="00FE0C26" w:rsidRPr="003D69F3">
        <w:rPr>
          <w:rFonts w:ascii="Times New Roman" w:hAnsi="Times New Roman" w:cs="Times New Roman"/>
          <w:sz w:val="20"/>
          <w:szCs w:val="20"/>
        </w:rPr>
        <w:t xml:space="preserve"> </w:t>
      </w:r>
      <w:r w:rsidRPr="003D69F3">
        <w:rPr>
          <w:rFonts w:ascii="Times New Roman" w:hAnsi="Times New Roman" w:cs="Times New Roman"/>
          <w:sz w:val="20"/>
          <w:szCs w:val="20"/>
        </w:rPr>
        <w:t xml:space="preserve">Las ciencias en general niegan esta subjetividad. De hecho la </w:t>
      </w:r>
      <w:r w:rsidR="00C24CFF" w:rsidRPr="003D69F3">
        <w:rPr>
          <w:rFonts w:ascii="Times New Roman" w:hAnsi="Times New Roman" w:cs="Times New Roman"/>
          <w:sz w:val="20"/>
          <w:szCs w:val="20"/>
        </w:rPr>
        <w:t>objetividad</w:t>
      </w:r>
      <w:r w:rsidRPr="003D69F3">
        <w:rPr>
          <w:rFonts w:ascii="Times New Roman" w:hAnsi="Times New Roman" w:cs="Times New Roman"/>
          <w:sz w:val="20"/>
          <w:szCs w:val="20"/>
        </w:rPr>
        <w:t xml:space="preserve"> científica para muchos pensadores se plantea como una verdad independiente del sujeto humano, lo que constituye epistemologías sin sujeto cognoscente y ahistóricas.</w:t>
      </w:r>
    </w:p>
    <w:p w:rsidR="002139BF" w:rsidRPr="003D69F3" w:rsidRDefault="002139BF"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Si admitimos la intersubjetividad presente en la producción científica, coincidimos con gran cantidad de autores que han denunciado la concepción de la ciencia-martillo (un martillo sirve para clavar un clavo o para romper un cráneo).</w:t>
      </w:r>
      <w:r w:rsidR="00FE0C26" w:rsidRPr="003D69F3">
        <w:rPr>
          <w:rFonts w:ascii="Times New Roman" w:hAnsi="Times New Roman" w:cs="Times New Roman"/>
          <w:sz w:val="20"/>
          <w:szCs w:val="20"/>
        </w:rPr>
        <w:t xml:space="preserve"> </w:t>
      </w:r>
      <w:r w:rsidRPr="003D69F3">
        <w:rPr>
          <w:rFonts w:ascii="Times New Roman" w:hAnsi="Times New Roman" w:cs="Times New Roman"/>
          <w:sz w:val="20"/>
          <w:szCs w:val="20"/>
        </w:rPr>
        <w:t xml:space="preserve">En tal sentido, todo constructo teórico conlleva una carga aplicativa imposible de evitar. Por consiguiente, debemos hacernos cargo de esta </w:t>
      </w:r>
      <w:r w:rsidR="00C24CFF" w:rsidRPr="003D69F3">
        <w:rPr>
          <w:rFonts w:ascii="Times New Roman" w:hAnsi="Times New Roman" w:cs="Times New Roman"/>
          <w:sz w:val="20"/>
          <w:szCs w:val="20"/>
        </w:rPr>
        <w:t>práctica</w:t>
      </w:r>
      <w:r w:rsidRPr="003D69F3">
        <w:rPr>
          <w:rFonts w:ascii="Times New Roman" w:hAnsi="Times New Roman" w:cs="Times New Roman"/>
          <w:sz w:val="20"/>
          <w:szCs w:val="20"/>
        </w:rPr>
        <w:t xml:space="preserve"> teórica, pues también abonamos la tesis de la imposibilidad de establecer una división entre lo que sería ciencia pura y ciencia aplicada.</w:t>
      </w:r>
      <w:r w:rsidR="00FE0C26" w:rsidRPr="003D69F3">
        <w:rPr>
          <w:rFonts w:ascii="Times New Roman" w:hAnsi="Times New Roman" w:cs="Times New Roman"/>
          <w:sz w:val="20"/>
          <w:szCs w:val="20"/>
        </w:rPr>
        <w:t xml:space="preserve"> </w:t>
      </w:r>
      <w:r w:rsidRPr="003D69F3">
        <w:rPr>
          <w:rFonts w:ascii="Times New Roman" w:hAnsi="Times New Roman" w:cs="Times New Roman"/>
          <w:sz w:val="20"/>
          <w:szCs w:val="20"/>
        </w:rPr>
        <w:t>Un científico no es alguien que se pone un uniforme que lo pone a resguardo de las aplicaciones de su producción teórica.</w:t>
      </w:r>
    </w:p>
    <w:p w:rsidR="00004302" w:rsidRPr="003D69F3" w:rsidRDefault="002139BF" w:rsidP="002C213E">
      <w:pPr>
        <w:ind w:left="360"/>
        <w:jc w:val="both"/>
        <w:rPr>
          <w:rFonts w:ascii="Times New Roman" w:hAnsi="Times New Roman" w:cs="Times New Roman"/>
          <w:sz w:val="20"/>
          <w:szCs w:val="20"/>
        </w:rPr>
      </w:pPr>
      <w:r w:rsidRPr="003D69F3">
        <w:rPr>
          <w:rFonts w:ascii="Times New Roman" w:hAnsi="Times New Roman" w:cs="Times New Roman"/>
          <w:sz w:val="20"/>
          <w:szCs w:val="20"/>
        </w:rPr>
        <w:t>La escisión de estas cuestiones suelen desembocar en peligrosas concepciones que eliminan la responsabilidad de asumir las consecuencias prácticas de sus producciones teóricas. La teoría también es una práctica social. Insistimos que no se trata de ningún sociologismo, sino  de la asunción de la responsabilidad por parte de los hacedores de ideas.</w:t>
      </w:r>
    </w:p>
    <w:p w:rsidR="002139BF" w:rsidRPr="003D69F3" w:rsidRDefault="00004302" w:rsidP="002C213E">
      <w:pPr>
        <w:spacing w:after="0"/>
        <w:ind w:left="283"/>
        <w:jc w:val="both"/>
        <w:rPr>
          <w:rFonts w:ascii="Times New Roman" w:hAnsi="Times New Roman" w:cs="Times New Roman"/>
          <w:sz w:val="20"/>
          <w:szCs w:val="20"/>
        </w:rPr>
      </w:pPr>
      <w:r w:rsidRPr="003D69F3">
        <w:rPr>
          <w:rFonts w:ascii="Times New Roman" w:hAnsi="Times New Roman" w:cs="Times New Roman"/>
          <w:sz w:val="20"/>
          <w:szCs w:val="20"/>
        </w:rPr>
        <w:t>Si el planteo resultó esclarecedor en algún sentido, el papel del filosofar apuntaría al intento de asegurar al hombre la disponibilidad de su propia existencia y de una parte del dominio colectivo. Tarea que, evidentemente, trasciende lo científico, reconociendo a la filosofía el papel de erigirse- desde la situación particular socio-histórica que viven los pensadores que la nutren- como una reflexión racional sobre las realidad naturales y cultivadas con el fin de comprenderlas para transformarlas, mejorando la existencia humana en su carácter individual y colectivo.</w:t>
      </w:r>
      <w:r w:rsidR="002139BF" w:rsidRPr="003D69F3">
        <w:rPr>
          <w:rFonts w:ascii="Times New Roman" w:hAnsi="Times New Roman" w:cs="Times New Roman"/>
          <w:sz w:val="20"/>
          <w:szCs w:val="20"/>
        </w:rPr>
        <w:t xml:space="preserve"> </w:t>
      </w:r>
    </w:p>
    <w:sectPr w:rsidR="002139BF" w:rsidRPr="003D69F3" w:rsidSect="00CD466C">
      <w:footerReference w:type="default" r:id="rId8"/>
      <w:pgSz w:w="11906" w:h="16838" w:code="9"/>
      <w:pgMar w:top="1417" w:right="1701" w:bottom="1417" w:left="1701"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A88" w:rsidRDefault="009F2A88" w:rsidP="00E37131">
      <w:pPr>
        <w:spacing w:after="0" w:line="240" w:lineRule="auto"/>
      </w:pPr>
      <w:r>
        <w:separator/>
      </w:r>
    </w:p>
  </w:endnote>
  <w:endnote w:type="continuationSeparator" w:id="1">
    <w:p w:rsidR="009F2A88" w:rsidRDefault="009F2A88" w:rsidP="00E37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050999"/>
      <w:docPartObj>
        <w:docPartGallery w:val="Page Numbers (Bottom of Page)"/>
        <w:docPartUnique/>
      </w:docPartObj>
    </w:sdtPr>
    <w:sdtContent>
      <w:p w:rsidR="00656586" w:rsidRDefault="00635659">
        <w:pPr>
          <w:pStyle w:val="Piedepgina"/>
          <w:jc w:val="center"/>
        </w:pPr>
        <w:fldSimple w:instr=" PAGE   \* MERGEFORMAT ">
          <w:r w:rsidR="00CD466C">
            <w:rPr>
              <w:noProof/>
            </w:rPr>
            <w:t>1</w:t>
          </w:r>
        </w:fldSimple>
      </w:p>
    </w:sdtContent>
  </w:sdt>
  <w:p w:rsidR="00E37131" w:rsidRDefault="00E3713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A88" w:rsidRDefault="009F2A88" w:rsidP="00E37131">
      <w:pPr>
        <w:spacing w:after="0" w:line="240" w:lineRule="auto"/>
      </w:pPr>
      <w:r>
        <w:separator/>
      </w:r>
    </w:p>
  </w:footnote>
  <w:footnote w:type="continuationSeparator" w:id="1">
    <w:p w:rsidR="009F2A88" w:rsidRDefault="009F2A88" w:rsidP="00E371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F19E7"/>
    <w:multiLevelType w:val="hybridMultilevel"/>
    <w:tmpl w:val="4094BFFE"/>
    <w:lvl w:ilvl="0" w:tplc="1480CE90">
      <w:start w:val="1"/>
      <w:numFmt w:val="decimal"/>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37131"/>
    <w:rsid w:val="00004302"/>
    <w:rsid w:val="0013014D"/>
    <w:rsid w:val="00132B19"/>
    <w:rsid w:val="0015374D"/>
    <w:rsid w:val="00195990"/>
    <w:rsid w:val="002139BF"/>
    <w:rsid w:val="0025770C"/>
    <w:rsid w:val="00280E38"/>
    <w:rsid w:val="002B7E7D"/>
    <w:rsid w:val="002C213E"/>
    <w:rsid w:val="00396505"/>
    <w:rsid w:val="003B2F8A"/>
    <w:rsid w:val="003D69F3"/>
    <w:rsid w:val="0043618A"/>
    <w:rsid w:val="004A7B66"/>
    <w:rsid w:val="004B7CEE"/>
    <w:rsid w:val="004D119C"/>
    <w:rsid w:val="0052560B"/>
    <w:rsid w:val="005422DC"/>
    <w:rsid w:val="005916A1"/>
    <w:rsid w:val="0063371B"/>
    <w:rsid w:val="00635659"/>
    <w:rsid w:val="00656586"/>
    <w:rsid w:val="006D4793"/>
    <w:rsid w:val="006F1D95"/>
    <w:rsid w:val="00761C93"/>
    <w:rsid w:val="0076474F"/>
    <w:rsid w:val="00837FF8"/>
    <w:rsid w:val="00847400"/>
    <w:rsid w:val="0089362D"/>
    <w:rsid w:val="00893E3F"/>
    <w:rsid w:val="00930812"/>
    <w:rsid w:val="0096393C"/>
    <w:rsid w:val="00973FEE"/>
    <w:rsid w:val="0097407A"/>
    <w:rsid w:val="00975AEB"/>
    <w:rsid w:val="009940CA"/>
    <w:rsid w:val="009B708C"/>
    <w:rsid w:val="009C4C0F"/>
    <w:rsid w:val="009F2A88"/>
    <w:rsid w:val="00A14A04"/>
    <w:rsid w:val="00AC49E9"/>
    <w:rsid w:val="00AD1BDC"/>
    <w:rsid w:val="00AE5BF4"/>
    <w:rsid w:val="00B13B24"/>
    <w:rsid w:val="00B213BF"/>
    <w:rsid w:val="00B25465"/>
    <w:rsid w:val="00BF334A"/>
    <w:rsid w:val="00C0706D"/>
    <w:rsid w:val="00C210CC"/>
    <w:rsid w:val="00C24CFF"/>
    <w:rsid w:val="00C306BA"/>
    <w:rsid w:val="00C62C54"/>
    <w:rsid w:val="00CA4121"/>
    <w:rsid w:val="00CD466C"/>
    <w:rsid w:val="00D22921"/>
    <w:rsid w:val="00D95843"/>
    <w:rsid w:val="00E011EB"/>
    <w:rsid w:val="00E37131"/>
    <w:rsid w:val="00E510C8"/>
    <w:rsid w:val="00E677E4"/>
    <w:rsid w:val="00ED6980"/>
    <w:rsid w:val="00F4221E"/>
    <w:rsid w:val="00FE0C26"/>
    <w:rsid w:val="00FF50A4"/>
    <w:rsid w:val="00FF6DF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371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37131"/>
  </w:style>
  <w:style w:type="paragraph" w:styleId="Piedepgina">
    <w:name w:val="footer"/>
    <w:basedOn w:val="Normal"/>
    <w:link w:val="PiedepginaCar"/>
    <w:uiPriority w:val="99"/>
    <w:unhideWhenUsed/>
    <w:rsid w:val="00E371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7131"/>
  </w:style>
  <w:style w:type="paragraph" w:styleId="Prrafodelista">
    <w:name w:val="List Paragraph"/>
    <w:basedOn w:val="Normal"/>
    <w:uiPriority w:val="34"/>
    <w:qFormat/>
    <w:rsid w:val="00837FF8"/>
    <w:pPr>
      <w:ind w:left="720"/>
      <w:contextualSpacing/>
    </w:pPr>
  </w:style>
  <w:style w:type="paragraph" w:styleId="Textodeglobo">
    <w:name w:val="Balloon Text"/>
    <w:basedOn w:val="Normal"/>
    <w:link w:val="TextodegloboCar"/>
    <w:uiPriority w:val="99"/>
    <w:semiHidden/>
    <w:unhideWhenUsed/>
    <w:rsid w:val="009308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812"/>
    <w:rPr>
      <w:rFonts w:ascii="Tahoma" w:hAnsi="Tahoma" w:cs="Tahoma"/>
      <w:sz w:val="16"/>
      <w:szCs w:val="16"/>
    </w:rPr>
  </w:style>
  <w:style w:type="paragraph" w:styleId="Sinespaciado">
    <w:name w:val="No Spacing"/>
    <w:uiPriority w:val="1"/>
    <w:qFormat/>
    <w:rsid w:val="009308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91975-99F3-4079-86D6-23E8370F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3533</Words>
  <Characters>19433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Juanca</dc:creator>
  <cp:lastModifiedBy>user</cp:lastModifiedBy>
  <cp:revision>4</cp:revision>
  <dcterms:created xsi:type="dcterms:W3CDTF">2013-03-16T15:40:00Z</dcterms:created>
  <dcterms:modified xsi:type="dcterms:W3CDTF">2013-03-16T15:46:00Z</dcterms:modified>
</cp:coreProperties>
</file>